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0A3F4">
      <w:pPr>
        <w:spacing w:line="264" w:lineRule="auto"/>
        <w:rPr>
          <w:rFonts w:hint="eastAsia" w:ascii="Arial" w:eastAsia="宋体"/>
          <w:sz w:val="21"/>
          <w:lang w:eastAsia="zh-CN"/>
        </w:rPr>
      </w:pPr>
    </w:p>
    <w:p w14:paraId="1C201AF8">
      <w:pPr>
        <w:spacing w:before="101" w:line="210" w:lineRule="auto"/>
        <w:rPr>
          <w:rFonts w:ascii="Times New Roman" w:hAnsi="Times New Roman" w:eastAsia="Times New Roman" w:cs="Times New Roman"/>
          <w:spacing w:val="-6"/>
          <w:sz w:val="31"/>
          <w:szCs w:val="31"/>
        </w:rPr>
      </w:pPr>
      <w:bookmarkStart w:id="0" w:name="_GoBack"/>
      <w:bookmarkEnd w:id="0"/>
      <w:r>
        <w:rPr>
          <w:rFonts w:ascii="黑体" w:hAnsi="黑体" w:eastAsia="黑体" w:cs="黑体"/>
          <w:spacing w:val="-6"/>
          <w:sz w:val="31"/>
          <w:szCs w:val="31"/>
        </w:rPr>
        <w:t>附件</w:t>
      </w:r>
      <w:r>
        <w:rPr>
          <w:rFonts w:ascii="黑体" w:hAnsi="黑体" w:eastAsia="黑体" w:cs="黑体"/>
          <w:spacing w:val="-7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>2</w:t>
      </w:r>
    </w:p>
    <w:p w14:paraId="5A07B6F5">
      <w:pPr>
        <w:pStyle w:val="4"/>
        <w:keepNext w:val="0"/>
        <w:keepLines w:val="0"/>
        <w:widowControl/>
        <w:suppressLineNumbers w:val="0"/>
        <w:rPr>
          <w:rFonts w:ascii="方正小标宋_GBK" w:hAnsi="方正小标宋_GBK" w:eastAsia="方正小标宋_GBK" w:cs="方正小标宋_GBK"/>
          <w:color w:val="000000"/>
          <w:sz w:val="43"/>
          <w:szCs w:val="43"/>
        </w:rPr>
      </w:pPr>
      <w:r>
        <w:t>                   </w:t>
      </w:r>
      <w:r>
        <w:rPr>
          <w:rFonts w:hint="default" w:ascii="Times New Roman" w:hAnsi="Times New Roman" w:cs="Times New Roman"/>
          <w:color w:val="000000"/>
          <w:sz w:val="43"/>
          <w:szCs w:val="43"/>
        </w:rPr>
        <w:t>2026</w:t>
      </w:r>
      <w:r>
        <w:rPr>
          <w:rFonts w:ascii="方正小标宋_GBK" w:hAnsi="方正小标宋_GBK" w:eastAsia="方正小标宋_GBK" w:cs="方正小标宋_GBK"/>
          <w:color w:val="000000"/>
          <w:sz w:val="43"/>
          <w:szCs w:val="43"/>
        </w:rPr>
        <w:t>年重庆市专家工作室申报简表</w:t>
      </w:r>
    </w:p>
    <w:p w14:paraId="73094789">
      <w:pPr>
        <w:pStyle w:val="4"/>
        <w:keepNext w:val="0"/>
        <w:keepLines w:val="0"/>
        <w:widowControl/>
        <w:suppressLineNumbers w:val="0"/>
        <w:rPr>
          <w:rFonts w:ascii="方正小标宋_GBK" w:hAnsi="方正小标宋_GBK" w:eastAsia="方正小标宋_GBK" w:cs="方正小标宋_GBK"/>
          <w:color w:val="000000"/>
          <w:sz w:val="28"/>
          <w:szCs w:val="28"/>
        </w:rPr>
      </w:pPr>
    </w:p>
    <w:p w14:paraId="6D7852AF">
      <w:pPr>
        <w:pStyle w:val="4"/>
        <w:keepNext w:val="0"/>
        <w:keepLines w:val="0"/>
        <w:widowControl/>
        <w:suppressLineNumbers w:val="0"/>
        <w:rPr>
          <w:rFonts w:hint="eastAsia" w:ascii="方正仿宋_GBK" w:hAnsi="方正仿宋_GBK" w:eastAsia="方正仿宋_GBK" w:cs="方正仿宋_GBK"/>
          <w:color w:val="000000"/>
          <w:sz w:val="24"/>
          <w:szCs w:val="24"/>
        </w:rPr>
      </w:pPr>
      <w:r>
        <w:t>  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zh-CN"/>
        </w:rPr>
        <w:t>二级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</w:rPr>
        <w:t>单位（盖章）：                 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zh-CN"/>
        </w:rPr>
        <w:t>主要负责人（签字）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</w:rPr>
        <w:t>：       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</w:rPr>
        <w:t> 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zh-CN"/>
        </w:rPr>
        <w:t>填表人及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</w:rPr>
        <w:t>联系电话：</w:t>
      </w:r>
    </w:p>
    <w:tbl>
      <w:tblPr>
        <w:tblStyle w:val="8"/>
        <w:tblW w:w="145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8"/>
        <w:gridCol w:w="522"/>
        <w:gridCol w:w="970"/>
        <w:gridCol w:w="865"/>
        <w:gridCol w:w="566"/>
        <w:gridCol w:w="1061"/>
        <w:gridCol w:w="1214"/>
        <w:gridCol w:w="1289"/>
        <w:gridCol w:w="1224"/>
        <w:gridCol w:w="1253"/>
        <w:gridCol w:w="1199"/>
        <w:gridCol w:w="955"/>
        <w:gridCol w:w="1213"/>
        <w:gridCol w:w="965"/>
        <w:gridCol w:w="738"/>
      </w:tblGrid>
      <w:tr w14:paraId="0AD0F4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jc w:val="center"/>
        </w:trPr>
        <w:tc>
          <w:tcPr>
            <w:tcW w:w="488" w:type="dxa"/>
            <w:vMerge w:val="restart"/>
            <w:tcBorders>
              <w:bottom w:val="nil"/>
            </w:tcBorders>
            <w:vAlign w:val="center"/>
          </w:tcPr>
          <w:p w14:paraId="3556B7E6">
            <w:pPr>
              <w:spacing w:before="65" w:line="209" w:lineRule="auto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4"/>
                <w:sz w:val="20"/>
                <w:szCs w:val="20"/>
              </w:rPr>
              <w:t>序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号</w:t>
            </w:r>
          </w:p>
        </w:tc>
        <w:tc>
          <w:tcPr>
            <w:tcW w:w="522" w:type="dxa"/>
            <w:vMerge w:val="restart"/>
            <w:tcBorders>
              <w:bottom w:val="nil"/>
            </w:tcBorders>
            <w:vAlign w:val="center"/>
          </w:tcPr>
          <w:p w14:paraId="1EEE5156">
            <w:pPr>
              <w:spacing w:before="65" w:line="212" w:lineRule="auto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3"/>
                <w:sz w:val="20"/>
                <w:szCs w:val="20"/>
              </w:rPr>
              <w:t>姓名</w:t>
            </w:r>
          </w:p>
        </w:tc>
        <w:tc>
          <w:tcPr>
            <w:tcW w:w="970" w:type="dxa"/>
            <w:vMerge w:val="restart"/>
            <w:tcBorders>
              <w:bottom w:val="nil"/>
            </w:tcBorders>
            <w:vAlign w:val="center"/>
          </w:tcPr>
          <w:p w14:paraId="324E254B">
            <w:pPr>
              <w:spacing w:before="65" w:line="245" w:lineRule="auto"/>
              <w:ind w:right="109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3"/>
                <w:sz w:val="20"/>
                <w:szCs w:val="20"/>
              </w:rPr>
              <w:t>申请类</w:t>
            </w:r>
            <w:r>
              <w:rPr>
                <w:rFonts w:hint="eastAsia" w:ascii="黑体" w:hAnsi="黑体" w:eastAsia="黑体" w:cs="黑体"/>
                <w:spacing w:val="3"/>
                <w:sz w:val="20"/>
                <w:szCs w:val="20"/>
              </w:rPr>
              <w:t>别</w:t>
            </w:r>
          </w:p>
        </w:tc>
        <w:tc>
          <w:tcPr>
            <w:tcW w:w="865" w:type="dxa"/>
            <w:vMerge w:val="restart"/>
            <w:tcBorders>
              <w:bottom w:val="nil"/>
            </w:tcBorders>
            <w:vAlign w:val="center"/>
          </w:tcPr>
          <w:p w14:paraId="07C3028E">
            <w:pPr>
              <w:spacing w:before="65" w:line="213" w:lineRule="auto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5"/>
                <w:sz w:val="20"/>
                <w:szCs w:val="20"/>
              </w:rPr>
              <w:t>出生</w:t>
            </w:r>
            <w:r>
              <w:rPr>
                <w:rFonts w:hint="eastAsia" w:ascii="黑体" w:hAnsi="黑体" w:eastAsia="黑体" w:cs="黑体"/>
                <w:spacing w:val="1"/>
                <w:sz w:val="20"/>
                <w:szCs w:val="20"/>
              </w:rPr>
              <w:t>年月</w:t>
            </w:r>
          </w:p>
        </w:tc>
        <w:tc>
          <w:tcPr>
            <w:tcW w:w="566" w:type="dxa"/>
            <w:vMerge w:val="restart"/>
            <w:tcBorders>
              <w:bottom w:val="nil"/>
            </w:tcBorders>
            <w:vAlign w:val="center"/>
          </w:tcPr>
          <w:p w14:paraId="135FC328">
            <w:pPr>
              <w:pStyle w:val="7"/>
              <w:spacing w:line="244" w:lineRule="auto"/>
              <w:jc w:val="center"/>
              <w:rPr>
                <w:rFonts w:hint="eastAsia" w:ascii="黑体" w:hAnsi="黑体" w:eastAsia="黑体" w:cs="黑体"/>
              </w:rPr>
            </w:pPr>
          </w:p>
          <w:p w14:paraId="08C8209E">
            <w:pPr>
              <w:spacing w:before="65" w:line="209" w:lineRule="auto"/>
              <w:ind w:left="155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1"/>
                <w:sz w:val="20"/>
                <w:szCs w:val="20"/>
              </w:rPr>
              <w:t>一级</w:t>
            </w:r>
          </w:p>
          <w:p w14:paraId="54C31445">
            <w:pPr>
              <w:spacing w:before="33" w:line="212" w:lineRule="auto"/>
              <w:ind w:left="155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1"/>
                <w:sz w:val="20"/>
                <w:szCs w:val="20"/>
              </w:rPr>
              <w:t>学科</w:t>
            </w:r>
          </w:p>
        </w:tc>
        <w:tc>
          <w:tcPr>
            <w:tcW w:w="1061" w:type="dxa"/>
            <w:vMerge w:val="restart"/>
            <w:tcBorders>
              <w:bottom w:val="nil"/>
            </w:tcBorders>
            <w:vAlign w:val="center"/>
          </w:tcPr>
          <w:p w14:paraId="3E475879">
            <w:pPr>
              <w:spacing w:before="296"/>
              <w:ind w:left="184" w:right="135" w:hanging="4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二级/</w:t>
            </w:r>
            <w:r>
              <w:rPr>
                <w:rFonts w:hint="eastAsia" w:ascii="黑体" w:hAnsi="黑体" w:eastAsia="黑体" w:cs="黑体"/>
                <w:spacing w:val="-5"/>
                <w:sz w:val="20"/>
                <w:szCs w:val="20"/>
              </w:rPr>
              <w:t>医学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三级</w:t>
            </w:r>
            <w:r>
              <w:rPr>
                <w:rFonts w:hint="eastAsia" w:ascii="黑体" w:hAnsi="黑体" w:eastAsia="黑体" w:cs="黑体"/>
                <w:spacing w:val="1"/>
                <w:sz w:val="20"/>
                <w:szCs w:val="20"/>
              </w:rPr>
              <w:t>学科</w:t>
            </w:r>
          </w:p>
        </w:tc>
        <w:tc>
          <w:tcPr>
            <w:tcW w:w="1214" w:type="dxa"/>
            <w:vMerge w:val="restart"/>
            <w:tcBorders>
              <w:bottom w:val="nil"/>
            </w:tcBorders>
            <w:vAlign w:val="center"/>
          </w:tcPr>
          <w:p w14:paraId="228BDA8B">
            <w:pPr>
              <w:pStyle w:val="7"/>
              <w:spacing w:line="359" w:lineRule="auto"/>
              <w:jc w:val="both"/>
              <w:rPr>
                <w:rFonts w:hint="eastAsia" w:ascii="黑体" w:hAnsi="黑体" w:eastAsia="黑体" w:cs="黑体"/>
              </w:rPr>
            </w:pPr>
          </w:p>
          <w:p w14:paraId="290F3685">
            <w:pPr>
              <w:spacing w:before="65" w:line="210" w:lineRule="auto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2"/>
                <w:sz w:val="20"/>
                <w:szCs w:val="20"/>
              </w:rPr>
              <w:t>“336</w:t>
            </w:r>
            <w:r>
              <w:rPr>
                <w:rFonts w:hint="eastAsia" w:ascii="黑体" w:hAnsi="黑体" w:eastAsia="黑体" w:cs="黑体"/>
                <w:spacing w:val="-8"/>
                <w:sz w:val="20"/>
                <w:szCs w:val="20"/>
              </w:rPr>
              <w:t>18”领</w:t>
            </w:r>
            <w:r>
              <w:rPr>
                <w:rFonts w:hint="eastAsia" w:ascii="黑体" w:hAnsi="黑体" w:eastAsia="黑体" w:cs="黑体"/>
                <w:spacing w:val="2"/>
                <w:sz w:val="20"/>
                <w:szCs w:val="20"/>
              </w:rPr>
              <w:t>域</w:t>
            </w:r>
          </w:p>
        </w:tc>
        <w:tc>
          <w:tcPr>
            <w:tcW w:w="1289" w:type="dxa"/>
            <w:vMerge w:val="restart"/>
            <w:tcBorders>
              <w:bottom w:val="nil"/>
            </w:tcBorders>
            <w:vAlign w:val="center"/>
          </w:tcPr>
          <w:p w14:paraId="4C75B6A3">
            <w:pPr>
              <w:pStyle w:val="7"/>
              <w:spacing w:line="243" w:lineRule="auto"/>
              <w:jc w:val="both"/>
              <w:rPr>
                <w:rFonts w:hint="eastAsia" w:ascii="黑体" w:hAnsi="黑体" w:eastAsia="黑体" w:cs="黑体"/>
              </w:rPr>
            </w:pPr>
          </w:p>
          <w:p w14:paraId="5F266E91">
            <w:pPr>
              <w:spacing w:before="65" w:line="213" w:lineRule="auto"/>
              <w:ind w:firstLine="206" w:firstLineChars="10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3"/>
                <w:sz w:val="20"/>
                <w:szCs w:val="20"/>
              </w:rPr>
              <w:t>主要业绩</w:t>
            </w:r>
          </w:p>
          <w:p w14:paraId="7853EB03">
            <w:pPr>
              <w:spacing w:before="15" w:line="283" w:lineRule="exact"/>
              <w:ind w:left="142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（300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以内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）</w:t>
            </w:r>
          </w:p>
        </w:tc>
        <w:tc>
          <w:tcPr>
            <w:tcW w:w="4631" w:type="dxa"/>
            <w:gridSpan w:val="4"/>
            <w:vAlign w:val="center"/>
          </w:tcPr>
          <w:p w14:paraId="2BBDC39E">
            <w:pPr>
              <w:spacing w:before="58" w:line="281" w:lineRule="exact"/>
              <w:ind w:left="886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5"/>
                <w:position w:val="1"/>
                <w:sz w:val="20"/>
                <w:szCs w:val="20"/>
              </w:rPr>
              <w:t>近五年重要成果奖励（</w:t>
            </w:r>
            <w:r>
              <w:rPr>
                <w:rFonts w:hint="eastAsia" w:ascii="黑体" w:hAnsi="黑体" w:eastAsia="黑体" w:cs="黑体"/>
                <w:spacing w:val="-45"/>
                <w:position w:val="1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5"/>
                <w:position w:val="1"/>
                <w:sz w:val="20"/>
                <w:szCs w:val="20"/>
              </w:rPr>
              <w:t>3项</w:t>
            </w:r>
            <w:r>
              <w:rPr>
                <w:rFonts w:hint="eastAsia" w:ascii="黑体" w:hAnsi="黑体" w:eastAsia="黑体" w:cs="黑体"/>
                <w:spacing w:val="5"/>
                <w:position w:val="1"/>
                <w:sz w:val="20"/>
                <w:szCs w:val="20"/>
                <w:lang w:val="en-US" w:eastAsia="zh-CN"/>
              </w:rPr>
              <w:t>以内</w:t>
            </w:r>
            <w:r>
              <w:rPr>
                <w:rFonts w:hint="eastAsia" w:ascii="黑体" w:hAnsi="黑体" w:eastAsia="黑体" w:cs="黑体"/>
                <w:spacing w:val="5"/>
                <w:position w:val="1"/>
                <w:sz w:val="20"/>
                <w:szCs w:val="20"/>
              </w:rPr>
              <w:t>）</w:t>
            </w:r>
          </w:p>
        </w:tc>
        <w:tc>
          <w:tcPr>
            <w:tcW w:w="1213" w:type="dxa"/>
            <w:vMerge w:val="restart"/>
            <w:tcBorders>
              <w:bottom w:val="nil"/>
            </w:tcBorders>
            <w:vAlign w:val="center"/>
          </w:tcPr>
          <w:p w14:paraId="51343D51">
            <w:pPr>
              <w:pStyle w:val="7"/>
              <w:spacing w:line="359" w:lineRule="auto"/>
              <w:jc w:val="center"/>
              <w:rPr>
                <w:rFonts w:hint="eastAsia" w:ascii="黑体" w:hAnsi="黑体" w:eastAsia="黑体" w:cs="黑体"/>
              </w:rPr>
            </w:pPr>
          </w:p>
          <w:p w14:paraId="064216E7">
            <w:pPr>
              <w:spacing w:before="65" w:line="232" w:lineRule="auto"/>
              <w:ind w:right="121"/>
              <w:jc w:val="center"/>
              <w:rPr>
                <w:rFonts w:hint="eastAsia" w:ascii="黑体" w:hAnsi="黑体" w:eastAsia="黑体" w:cs="黑体"/>
                <w:spacing w:val="2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4"/>
                <w:sz w:val="20"/>
                <w:szCs w:val="20"/>
              </w:rPr>
              <w:t>人才计划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2"/>
                <w:sz w:val="20"/>
                <w:szCs w:val="20"/>
              </w:rPr>
              <w:t>项目</w:t>
            </w:r>
          </w:p>
          <w:p w14:paraId="7398F889">
            <w:pPr>
              <w:spacing w:before="65" w:line="232" w:lineRule="auto"/>
              <w:ind w:right="121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2"/>
                <w:sz w:val="20"/>
                <w:szCs w:val="20"/>
              </w:rPr>
              <w:t>（3</w:t>
            </w:r>
            <w:r>
              <w:rPr>
                <w:rFonts w:hint="eastAsia" w:ascii="黑体" w:hAnsi="黑体" w:eastAsia="黑体" w:cs="黑体"/>
                <w:spacing w:val="6"/>
                <w:position w:val="2"/>
                <w:sz w:val="20"/>
                <w:szCs w:val="20"/>
              </w:rPr>
              <w:t>项</w:t>
            </w:r>
            <w:r>
              <w:rPr>
                <w:rFonts w:hint="eastAsia" w:ascii="黑体" w:hAnsi="黑体" w:eastAsia="黑体" w:cs="黑体"/>
                <w:spacing w:val="6"/>
                <w:position w:val="2"/>
                <w:sz w:val="20"/>
                <w:szCs w:val="20"/>
                <w:lang w:val="en-US" w:eastAsia="zh-CN"/>
              </w:rPr>
              <w:t>以内</w:t>
            </w:r>
            <w:r>
              <w:rPr>
                <w:rFonts w:hint="eastAsia" w:ascii="黑体" w:hAnsi="黑体" w:eastAsia="黑体" w:cs="黑体"/>
                <w:spacing w:val="6"/>
                <w:position w:val="2"/>
                <w:sz w:val="20"/>
                <w:szCs w:val="20"/>
              </w:rPr>
              <w:t>）</w:t>
            </w:r>
          </w:p>
        </w:tc>
        <w:tc>
          <w:tcPr>
            <w:tcW w:w="965" w:type="dxa"/>
            <w:vMerge w:val="restart"/>
            <w:tcBorders>
              <w:bottom w:val="nil"/>
            </w:tcBorders>
            <w:vAlign w:val="center"/>
          </w:tcPr>
          <w:p w14:paraId="47700534">
            <w:pPr>
              <w:spacing w:before="33" w:line="218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5"/>
                <w:sz w:val="20"/>
                <w:szCs w:val="20"/>
              </w:rPr>
              <w:t>同等</w:t>
            </w:r>
            <w:r>
              <w:rPr>
                <w:rFonts w:hint="eastAsia" w:ascii="黑体" w:hAnsi="黑体" w:eastAsia="黑体" w:cs="黑体"/>
                <w:spacing w:val="4"/>
                <w:sz w:val="20"/>
                <w:szCs w:val="20"/>
              </w:rPr>
              <w:t>条件</w:t>
            </w:r>
          </w:p>
          <w:p w14:paraId="1D32BC42">
            <w:pPr>
              <w:spacing w:before="28" w:line="214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下优</w:t>
            </w:r>
            <w:r>
              <w:rPr>
                <w:rFonts w:hint="eastAsia" w:ascii="黑体" w:hAnsi="黑体" w:eastAsia="黑体" w:cs="黑体"/>
                <w:spacing w:val="2"/>
                <w:sz w:val="20"/>
                <w:szCs w:val="20"/>
              </w:rPr>
              <w:t>先考</w:t>
            </w:r>
          </w:p>
          <w:p w14:paraId="7D48196A">
            <w:pPr>
              <w:spacing w:before="28" w:line="222" w:lineRule="auto"/>
              <w:ind w:right="186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3"/>
                <w:sz w:val="20"/>
                <w:szCs w:val="20"/>
              </w:rPr>
              <w:t>虑情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况</w:t>
            </w:r>
          </w:p>
        </w:tc>
        <w:tc>
          <w:tcPr>
            <w:tcW w:w="738" w:type="dxa"/>
            <w:vMerge w:val="restart"/>
            <w:tcBorders>
              <w:bottom w:val="nil"/>
            </w:tcBorders>
            <w:vAlign w:val="center"/>
          </w:tcPr>
          <w:p w14:paraId="5F12349A">
            <w:pPr>
              <w:spacing w:before="36" w:line="210" w:lineRule="auto"/>
              <w:ind w:left="213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8"/>
                <w:sz w:val="20"/>
                <w:szCs w:val="20"/>
              </w:rPr>
              <w:t>申报</w:t>
            </w:r>
          </w:p>
          <w:p w14:paraId="51080D94">
            <w:pPr>
              <w:spacing w:before="31" w:line="210" w:lineRule="auto"/>
              <w:ind w:left="196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1"/>
                <w:sz w:val="20"/>
                <w:szCs w:val="20"/>
              </w:rPr>
              <w:t>单位</w:t>
            </w:r>
          </w:p>
          <w:p w14:paraId="4D9D7DF3">
            <w:pPr>
              <w:spacing w:before="32" w:line="208" w:lineRule="auto"/>
              <w:ind w:left="189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4"/>
                <w:sz w:val="20"/>
                <w:szCs w:val="20"/>
              </w:rPr>
              <w:t>往届</w:t>
            </w:r>
          </w:p>
          <w:p w14:paraId="792ED39B">
            <w:pPr>
              <w:spacing w:before="33" w:line="212" w:lineRule="auto"/>
              <w:ind w:left="196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1"/>
                <w:sz w:val="20"/>
                <w:szCs w:val="20"/>
              </w:rPr>
              <w:t>学科</w:t>
            </w:r>
          </w:p>
          <w:p w14:paraId="266450BC">
            <w:pPr>
              <w:spacing w:before="30" w:line="217" w:lineRule="auto"/>
              <w:ind w:left="187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5"/>
                <w:sz w:val="20"/>
                <w:szCs w:val="20"/>
              </w:rPr>
              <w:t>入选</w:t>
            </w:r>
          </w:p>
          <w:p w14:paraId="43FB80B4">
            <w:pPr>
              <w:spacing w:before="23" w:line="205" w:lineRule="auto"/>
              <w:ind w:left="189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4"/>
                <w:sz w:val="20"/>
                <w:szCs w:val="20"/>
              </w:rPr>
              <w:t>情况</w:t>
            </w:r>
          </w:p>
        </w:tc>
      </w:tr>
      <w:tr w14:paraId="17033E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  <w:jc w:val="center"/>
        </w:trPr>
        <w:tc>
          <w:tcPr>
            <w:tcW w:w="488" w:type="dxa"/>
            <w:vMerge w:val="continue"/>
            <w:tcBorders>
              <w:top w:val="nil"/>
            </w:tcBorders>
            <w:vAlign w:val="center"/>
          </w:tcPr>
          <w:p w14:paraId="7AC7E129">
            <w:pPr>
              <w:pStyle w:val="7"/>
              <w:jc w:val="center"/>
            </w:pPr>
          </w:p>
        </w:tc>
        <w:tc>
          <w:tcPr>
            <w:tcW w:w="522" w:type="dxa"/>
            <w:vMerge w:val="continue"/>
            <w:tcBorders>
              <w:top w:val="nil"/>
            </w:tcBorders>
            <w:vAlign w:val="center"/>
          </w:tcPr>
          <w:p w14:paraId="709FF592">
            <w:pPr>
              <w:pStyle w:val="7"/>
              <w:jc w:val="center"/>
            </w:pPr>
          </w:p>
        </w:tc>
        <w:tc>
          <w:tcPr>
            <w:tcW w:w="970" w:type="dxa"/>
            <w:vMerge w:val="continue"/>
            <w:tcBorders>
              <w:top w:val="nil"/>
            </w:tcBorders>
            <w:vAlign w:val="center"/>
          </w:tcPr>
          <w:p w14:paraId="72EBDFB1">
            <w:pPr>
              <w:pStyle w:val="7"/>
              <w:jc w:val="center"/>
            </w:pPr>
          </w:p>
        </w:tc>
        <w:tc>
          <w:tcPr>
            <w:tcW w:w="865" w:type="dxa"/>
            <w:vMerge w:val="continue"/>
            <w:tcBorders>
              <w:top w:val="nil"/>
            </w:tcBorders>
            <w:vAlign w:val="center"/>
          </w:tcPr>
          <w:p w14:paraId="002B89ED">
            <w:pPr>
              <w:pStyle w:val="7"/>
              <w:jc w:val="center"/>
            </w:pPr>
          </w:p>
        </w:tc>
        <w:tc>
          <w:tcPr>
            <w:tcW w:w="566" w:type="dxa"/>
            <w:vMerge w:val="continue"/>
            <w:tcBorders>
              <w:top w:val="nil"/>
            </w:tcBorders>
            <w:vAlign w:val="center"/>
          </w:tcPr>
          <w:p w14:paraId="7D8A03DB">
            <w:pPr>
              <w:pStyle w:val="7"/>
              <w:jc w:val="center"/>
            </w:pPr>
          </w:p>
        </w:tc>
        <w:tc>
          <w:tcPr>
            <w:tcW w:w="1061" w:type="dxa"/>
            <w:vMerge w:val="continue"/>
            <w:tcBorders>
              <w:top w:val="nil"/>
            </w:tcBorders>
            <w:vAlign w:val="center"/>
          </w:tcPr>
          <w:p w14:paraId="4E3C0088">
            <w:pPr>
              <w:pStyle w:val="7"/>
              <w:jc w:val="center"/>
            </w:pPr>
          </w:p>
        </w:tc>
        <w:tc>
          <w:tcPr>
            <w:tcW w:w="1214" w:type="dxa"/>
            <w:vMerge w:val="continue"/>
            <w:tcBorders>
              <w:top w:val="nil"/>
            </w:tcBorders>
            <w:vAlign w:val="center"/>
          </w:tcPr>
          <w:p w14:paraId="5D2852F2">
            <w:pPr>
              <w:pStyle w:val="7"/>
              <w:jc w:val="center"/>
            </w:pPr>
          </w:p>
        </w:tc>
        <w:tc>
          <w:tcPr>
            <w:tcW w:w="1289" w:type="dxa"/>
            <w:vMerge w:val="continue"/>
            <w:tcBorders>
              <w:top w:val="nil"/>
            </w:tcBorders>
            <w:vAlign w:val="center"/>
          </w:tcPr>
          <w:p w14:paraId="4169EFDD">
            <w:pPr>
              <w:pStyle w:val="7"/>
              <w:jc w:val="center"/>
            </w:pPr>
          </w:p>
        </w:tc>
        <w:tc>
          <w:tcPr>
            <w:tcW w:w="1224" w:type="dxa"/>
            <w:vAlign w:val="center"/>
          </w:tcPr>
          <w:p w14:paraId="0019DBA5">
            <w:pPr>
              <w:spacing w:before="65" w:line="211" w:lineRule="auto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奖励名称</w:t>
            </w:r>
          </w:p>
        </w:tc>
        <w:tc>
          <w:tcPr>
            <w:tcW w:w="1253" w:type="dxa"/>
            <w:vAlign w:val="center"/>
          </w:tcPr>
          <w:p w14:paraId="1433AC32">
            <w:pPr>
              <w:spacing w:before="65" w:line="212" w:lineRule="auto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授予单位</w:t>
            </w:r>
          </w:p>
        </w:tc>
        <w:tc>
          <w:tcPr>
            <w:tcW w:w="1199" w:type="dxa"/>
            <w:vAlign w:val="center"/>
          </w:tcPr>
          <w:p w14:paraId="12F7457F">
            <w:pPr>
              <w:spacing w:before="65" w:line="211" w:lineRule="auto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授予时间</w:t>
            </w:r>
          </w:p>
        </w:tc>
        <w:tc>
          <w:tcPr>
            <w:tcW w:w="955" w:type="dxa"/>
            <w:vAlign w:val="center"/>
          </w:tcPr>
          <w:p w14:paraId="4C27CFFF">
            <w:pPr>
              <w:spacing w:before="65" w:line="207" w:lineRule="auto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排序</w:t>
            </w:r>
          </w:p>
        </w:tc>
        <w:tc>
          <w:tcPr>
            <w:tcW w:w="1213" w:type="dxa"/>
            <w:vMerge w:val="continue"/>
            <w:tcBorders>
              <w:top w:val="nil"/>
            </w:tcBorders>
            <w:vAlign w:val="center"/>
          </w:tcPr>
          <w:p w14:paraId="22D8EFCD">
            <w:pPr>
              <w:pStyle w:val="7"/>
              <w:jc w:val="center"/>
            </w:pPr>
          </w:p>
        </w:tc>
        <w:tc>
          <w:tcPr>
            <w:tcW w:w="965" w:type="dxa"/>
            <w:vMerge w:val="continue"/>
            <w:tcBorders>
              <w:top w:val="nil"/>
            </w:tcBorders>
            <w:vAlign w:val="center"/>
          </w:tcPr>
          <w:p w14:paraId="1DBE715D">
            <w:pPr>
              <w:pStyle w:val="7"/>
              <w:jc w:val="center"/>
            </w:pPr>
          </w:p>
        </w:tc>
        <w:tc>
          <w:tcPr>
            <w:tcW w:w="738" w:type="dxa"/>
            <w:vMerge w:val="continue"/>
            <w:tcBorders>
              <w:top w:val="nil"/>
            </w:tcBorders>
            <w:vAlign w:val="center"/>
          </w:tcPr>
          <w:p w14:paraId="52F2B172">
            <w:pPr>
              <w:pStyle w:val="7"/>
              <w:jc w:val="center"/>
            </w:pPr>
          </w:p>
        </w:tc>
      </w:tr>
      <w:tr w14:paraId="3E5C8C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  <w:jc w:val="center"/>
        </w:trPr>
        <w:tc>
          <w:tcPr>
            <w:tcW w:w="488" w:type="dxa"/>
            <w:vMerge w:val="restart"/>
            <w:tcBorders>
              <w:bottom w:val="nil"/>
            </w:tcBorders>
            <w:vAlign w:val="center"/>
          </w:tcPr>
          <w:p w14:paraId="270FF991">
            <w:pPr>
              <w:jc w:val="both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  <w:p w14:paraId="20AD9348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例</w:t>
            </w:r>
          </w:p>
        </w:tc>
        <w:tc>
          <w:tcPr>
            <w:tcW w:w="522" w:type="dxa"/>
            <w:vMerge w:val="restart"/>
            <w:tcBorders>
              <w:bottom w:val="nil"/>
            </w:tcBorders>
            <w:vAlign w:val="center"/>
          </w:tcPr>
          <w:p w14:paraId="67A3C970">
            <w:pPr>
              <w:jc w:val="both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  <w:p w14:paraId="78FFC6B0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XX</w:t>
            </w:r>
          </w:p>
        </w:tc>
        <w:tc>
          <w:tcPr>
            <w:tcW w:w="970" w:type="dxa"/>
            <w:vMerge w:val="restart"/>
            <w:tcBorders>
              <w:bottom w:val="nil"/>
            </w:tcBorders>
            <w:vAlign w:val="center"/>
          </w:tcPr>
          <w:p w14:paraId="3DE79B0C">
            <w:pPr>
              <w:jc w:val="both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  <w:p w14:paraId="40B716C6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首席专</w:t>
            </w:r>
          </w:p>
          <w:p w14:paraId="210702AC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家工作室</w:t>
            </w:r>
          </w:p>
        </w:tc>
        <w:tc>
          <w:tcPr>
            <w:tcW w:w="865" w:type="dxa"/>
            <w:vMerge w:val="restart"/>
            <w:tcBorders>
              <w:bottom w:val="nil"/>
            </w:tcBorders>
            <w:vAlign w:val="center"/>
          </w:tcPr>
          <w:p w14:paraId="6DF2FA03">
            <w:pPr>
              <w:jc w:val="both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  <w:p w14:paraId="730434AA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  <w:p w14:paraId="2160F149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1981.05</w:t>
            </w:r>
          </w:p>
        </w:tc>
        <w:tc>
          <w:tcPr>
            <w:tcW w:w="566" w:type="dxa"/>
            <w:vMerge w:val="restart"/>
            <w:tcBorders>
              <w:bottom w:val="nil"/>
            </w:tcBorders>
            <w:vAlign w:val="center"/>
          </w:tcPr>
          <w:p w14:paraId="7834DFA2">
            <w:pPr>
              <w:jc w:val="both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  <w:p w14:paraId="6EC414D6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  <w:p w14:paraId="6193664B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教育学</w:t>
            </w:r>
          </w:p>
        </w:tc>
        <w:tc>
          <w:tcPr>
            <w:tcW w:w="1061" w:type="dxa"/>
            <w:vMerge w:val="restart"/>
            <w:tcBorders>
              <w:bottom w:val="nil"/>
            </w:tcBorders>
            <w:vAlign w:val="center"/>
          </w:tcPr>
          <w:p w14:paraId="3C0B6301">
            <w:pPr>
              <w:jc w:val="both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  <w:p w14:paraId="02BFE447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  <w:p w14:paraId="3DFFA14C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教育学原理</w:t>
            </w:r>
          </w:p>
        </w:tc>
        <w:tc>
          <w:tcPr>
            <w:tcW w:w="1214" w:type="dxa"/>
            <w:vMerge w:val="restart"/>
            <w:tcBorders>
              <w:bottom w:val="nil"/>
            </w:tcBorders>
            <w:vAlign w:val="center"/>
          </w:tcPr>
          <w:p w14:paraId="069E0849">
            <w:pPr>
              <w:jc w:val="both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  <w:p w14:paraId="593DD8FA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  <w:p w14:paraId="45D042C6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生命</w:t>
            </w:r>
          </w:p>
          <w:p w14:paraId="1C7D3E77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科学</w:t>
            </w:r>
          </w:p>
        </w:tc>
        <w:tc>
          <w:tcPr>
            <w:tcW w:w="1289" w:type="dxa"/>
            <w:vMerge w:val="restart"/>
            <w:tcBorders>
              <w:bottom w:val="nil"/>
            </w:tcBorders>
            <w:vAlign w:val="center"/>
          </w:tcPr>
          <w:p w14:paraId="7B221E29">
            <w:pPr>
              <w:jc w:val="both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  <w:p w14:paraId="4EFD946A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  <w:p w14:paraId="3D856675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  <w:p w14:paraId="0FFF2616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1.……；</w:t>
            </w:r>
          </w:p>
          <w:p w14:paraId="442936DB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2.……；</w:t>
            </w:r>
          </w:p>
          <w:p w14:paraId="45708440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drawing>
                <wp:inline distT="0" distB="0" distL="0" distR="0">
                  <wp:extent cx="249555" cy="17145"/>
                  <wp:effectExtent l="0" t="0" r="0" b="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896" cy="17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4" w:type="dxa"/>
            <w:vAlign w:val="center"/>
          </w:tcPr>
          <w:p w14:paraId="06E3B57B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重庆市</w:t>
            </w: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  <w:lang w:val="en-US" w:eastAsia="zh-CN"/>
              </w:rPr>
              <w:t>教学成果奖一</w:t>
            </w: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等奖</w:t>
            </w:r>
          </w:p>
        </w:tc>
        <w:tc>
          <w:tcPr>
            <w:tcW w:w="1253" w:type="dxa"/>
            <w:vAlign w:val="center"/>
          </w:tcPr>
          <w:p w14:paraId="4DE46FF9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重庆市人民</w:t>
            </w:r>
          </w:p>
          <w:p w14:paraId="4E54DB7F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政府</w:t>
            </w:r>
          </w:p>
        </w:tc>
        <w:tc>
          <w:tcPr>
            <w:tcW w:w="1199" w:type="dxa"/>
            <w:vAlign w:val="center"/>
          </w:tcPr>
          <w:p w14:paraId="58CB18A3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2020年</w:t>
            </w:r>
          </w:p>
        </w:tc>
        <w:tc>
          <w:tcPr>
            <w:tcW w:w="955" w:type="dxa"/>
            <w:vAlign w:val="center"/>
          </w:tcPr>
          <w:p w14:paraId="48D45E1C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排名第</w:t>
            </w: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  <w:lang w:val="en-US" w:eastAsia="zh-CN"/>
              </w:rPr>
              <w:t>1</w:t>
            </w:r>
          </w:p>
          <w:p w14:paraId="63403BF8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（1/5）</w:t>
            </w:r>
          </w:p>
        </w:tc>
        <w:tc>
          <w:tcPr>
            <w:tcW w:w="1213" w:type="dxa"/>
            <w:vAlign w:val="center"/>
          </w:tcPr>
          <w:p w14:paraId="55D3B437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青年科学基金项目</w:t>
            </w:r>
          </w:p>
          <w:p w14:paraId="7CBA752F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（A类）</w:t>
            </w:r>
          </w:p>
          <w:p w14:paraId="4800D949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</w:tc>
        <w:tc>
          <w:tcPr>
            <w:tcW w:w="965" w:type="dxa"/>
            <w:vMerge w:val="restart"/>
            <w:tcBorders>
              <w:bottom w:val="nil"/>
            </w:tcBorders>
            <w:vAlign w:val="center"/>
          </w:tcPr>
          <w:p w14:paraId="73F67F88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  <w:p w14:paraId="0D0AF5B3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</w:p>
          <w:p w14:paraId="4C08DF6E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入选国家</w:t>
            </w:r>
          </w:p>
          <w:p w14:paraId="24F3137A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级人才项目（计划）</w:t>
            </w:r>
          </w:p>
        </w:tc>
        <w:tc>
          <w:tcPr>
            <w:tcW w:w="738" w:type="dxa"/>
            <w:vMerge w:val="restart"/>
            <w:tcBorders>
              <w:bottom w:val="nil"/>
            </w:tcBorders>
            <w:vAlign w:val="center"/>
          </w:tcPr>
          <w:p w14:paraId="31FA569F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首席：</w:t>
            </w:r>
          </w:p>
          <w:p w14:paraId="05C6E03A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经济</w:t>
            </w:r>
          </w:p>
          <w:p w14:paraId="2E4EFEB2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学</w:t>
            </w:r>
          </w:p>
          <w:p w14:paraId="4556055C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 xml:space="preserve">青年：  </w:t>
            </w:r>
          </w:p>
          <w:p w14:paraId="6D6A20A3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生物</w:t>
            </w:r>
          </w:p>
          <w:p w14:paraId="3712842A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医学</w:t>
            </w:r>
          </w:p>
          <w:p w14:paraId="46FC52C1">
            <w:pPr>
              <w:jc w:val="center"/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工程</w:t>
            </w:r>
          </w:p>
        </w:tc>
      </w:tr>
      <w:tr w14:paraId="4FDE39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jc w:val="center"/>
        </w:trPr>
        <w:tc>
          <w:tcPr>
            <w:tcW w:w="488" w:type="dxa"/>
            <w:vMerge w:val="continue"/>
            <w:tcBorders>
              <w:top w:val="nil"/>
              <w:bottom w:val="nil"/>
            </w:tcBorders>
            <w:vAlign w:val="top"/>
          </w:tcPr>
          <w:p w14:paraId="5D1D01B3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522" w:type="dxa"/>
            <w:vMerge w:val="continue"/>
            <w:tcBorders>
              <w:top w:val="nil"/>
              <w:bottom w:val="nil"/>
            </w:tcBorders>
            <w:vAlign w:val="top"/>
          </w:tcPr>
          <w:p w14:paraId="1F69F0CF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970" w:type="dxa"/>
            <w:vMerge w:val="continue"/>
            <w:tcBorders>
              <w:top w:val="nil"/>
              <w:bottom w:val="nil"/>
            </w:tcBorders>
            <w:vAlign w:val="top"/>
          </w:tcPr>
          <w:p w14:paraId="25DEFF2F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865" w:type="dxa"/>
            <w:vMerge w:val="continue"/>
            <w:tcBorders>
              <w:top w:val="nil"/>
              <w:bottom w:val="nil"/>
            </w:tcBorders>
            <w:vAlign w:val="top"/>
          </w:tcPr>
          <w:p w14:paraId="6A2BFDA2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566" w:type="dxa"/>
            <w:vMerge w:val="continue"/>
            <w:tcBorders>
              <w:top w:val="nil"/>
              <w:bottom w:val="nil"/>
            </w:tcBorders>
            <w:vAlign w:val="top"/>
          </w:tcPr>
          <w:p w14:paraId="2E158BD7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061" w:type="dxa"/>
            <w:vMerge w:val="continue"/>
            <w:tcBorders>
              <w:top w:val="nil"/>
              <w:bottom w:val="nil"/>
            </w:tcBorders>
            <w:vAlign w:val="top"/>
          </w:tcPr>
          <w:p w14:paraId="1E40D4B9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214" w:type="dxa"/>
            <w:vMerge w:val="continue"/>
            <w:tcBorders>
              <w:top w:val="nil"/>
              <w:bottom w:val="nil"/>
            </w:tcBorders>
            <w:vAlign w:val="top"/>
          </w:tcPr>
          <w:p w14:paraId="16FB2875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289" w:type="dxa"/>
            <w:vMerge w:val="continue"/>
            <w:tcBorders>
              <w:top w:val="nil"/>
              <w:bottom w:val="nil"/>
            </w:tcBorders>
            <w:vAlign w:val="top"/>
          </w:tcPr>
          <w:p w14:paraId="79975C2B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224" w:type="dxa"/>
            <w:vAlign w:val="top"/>
          </w:tcPr>
          <w:p w14:paraId="74EE77E8">
            <w:pPr>
              <w:spacing w:before="163" w:line="117" w:lineRule="exact"/>
              <w:ind w:left="424"/>
              <w:rPr>
                <w:rFonts w:hint="eastAsia" w:ascii="方正仿宋_GBK" w:hAnsi="方正仿宋_GBK" w:eastAsia="方正仿宋_GBK" w:cs="方正仿宋_GBK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……</w:t>
            </w:r>
          </w:p>
        </w:tc>
        <w:tc>
          <w:tcPr>
            <w:tcW w:w="1253" w:type="dxa"/>
            <w:vAlign w:val="top"/>
          </w:tcPr>
          <w:p w14:paraId="0AD87288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99" w:type="dxa"/>
            <w:vAlign w:val="top"/>
          </w:tcPr>
          <w:p w14:paraId="3EF9137A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955" w:type="dxa"/>
            <w:vAlign w:val="top"/>
          </w:tcPr>
          <w:p w14:paraId="2E3CE35F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213" w:type="dxa"/>
            <w:vAlign w:val="top"/>
          </w:tcPr>
          <w:p w14:paraId="1FCE91A4">
            <w:pPr>
              <w:jc w:val="center"/>
              <w:rPr>
                <w:rFonts w:hint="eastAsia" w:ascii="方正仿宋_GBK" w:hAnsi="方正仿宋_GBK" w:eastAsia="方正仿宋_GBK" w:cs="方正仿宋_GBK"/>
                <w:spacing w:val="1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sz w:val="15"/>
                <w:szCs w:val="15"/>
              </w:rPr>
              <w:t>重庆市学术技术带头人</w:t>
            </w:r>
          </w:p>
        </w:tc>
        <w:tc>
          <w:tcPr>
            <w:tcW w:w="965" w:type="dxa"/>
            <w:vMerge w:val="continue"/>
            <w:tcBorders>
              <w:top w:val="nil"/>
              <w:bottom w:val="nil"/>
            </w:tcBorders>
            <w:vAlign w:val="top"/>
          </w:tcPr>
          <w:p w14:paraId="4296A28F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738" w:type="dxa"/>
            <w:vMerge w:val="continue"/>
            <w:tcBorders>
              <w:top w:val="nil"/>
              <w:bottom w:val="nil"/>
            </w:tcBorders>
            <w:vAlign w:val="top"/>
          </w:tcPr>
          <w:p w14:paraId="2AD092F1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 w14:paraId="219BAB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4" w:hRule="atLeast"/>
          <w:jc w:val="center"/>
        </w:trPr>
        <w:tc>
          <w:tcPr>
            <w:tcW w:w="488" w:type="dxa"/>
            <w:vMerge w:val="continue"/>
            <w:tcBorders>
              <w:top w:val="nil"/>
            </w:tcBorders>
            <w:vAlign w:val="top"/>
          </w:tcPr>
          <w:p w14:paraId="7AFEF3C3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522" w:type="dxa"/>
            <w:vMerge w:val="continue"/>
            <w:tcBorders>
              <w:top w:val="nil"/>
            </w:tcBorders>
            <w:vAlign w:val="top"/>
          </w:tcPr>
          <w:p w14:paraId="74E736CD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970" w:type="dxa"/>
            <w:vMerge w:val="continue"/>
            <w:tcBorders>
              <w:top w:val="nil"/>
            </w:tcBorders>
            <w:vAlign w:val="top"/>
          </w:tcPr>
          <w:p w14:paraId="05B99CF6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865" w:type="dxa"/>
            <w:vMerge w:val="continue"/>
            <w:tcBorders>
              <w:top w:val="nil"/>
            </w:tcBorders>
            <w:vAlign w:val="top"/>
          </w:tcPr>
          <w:p w14:paraId="11A6D0FB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566" w:type="dxa"/>
            <w:vMerge w:val="continue"/>
            <w:tcBorders>
              <w:top w:val="nil"/>
            </w:tcBorders>
            <w:vAlign w:val="top"/>
          </w:tcPr>
          <w:p w14:paraId="1B726895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061" w:type="dxa"/>
            <w:vMerge w:val="continue"/>
            <w:tcBorders>
              <w:top w:val="nil"/>
            </w:tcBorders>
            <w:vAlign w:val="top"/>
          </w:tcPr>
          <w:p w14:paraId="64B656EB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214" w:type="dxa"/>
            <w:vMerge w:val="continue"/>
            <w:tcBorders>
              <w:top w:val="nil"/>
            </w:tcBorders>
            <w:vAlign w:val="top"/>
          </w:tcPr>
          <w:p w14:paraId="603734E4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289" w:type="dxa"/>
            <w:vMerge w:val="continue"/>
            <w:tcBorders>
              <w:top w:val="nil"/>
            </w:tcBorders>
            <w:vAlign w:val="top"/>
          </w:tcPr>
          <w:p w14:paraId="5AE480D1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224" w:type="dxa"/>
            <w:vAlign w:val="top"/>
          </w:tcPr>
          <w:p w14:paraId="3ACC286E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253" w:type="dxa"/>
            <w:vAlign w:val="top"/>
          </w:tcPr>
          <w:p w14:paraId="6148E124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99" w:type="dxa"/>
            <w:vAlign w:val="top"/>
          </w:tcPr>
          <w:p w14:paraId="39C4B615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955" w:type="dxa"/>
            <w:vAlign w:val="top"/>
          </w:tcPr>
          <w:p w14:paraId="35F2FE4A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213" w:type="dxa"/>
            <w:vAlign w:val="top"/>
          </w:tcPr>
          <w:p w14:paraId="27759DB4">
            <w:pPr>
              <w:spacing w:before="22" w:line="181" w:lineRule="auto"/>
              <w:ind w:left="214"/>
              <w:rPr>
                <w:rFonts w:hint="eastAsia" w:ascii="方正仿宋_GBK" w:hAnsi="方正仿宋_GBK" w:eastAsia="方正仿宋_GBK" w:cs="方正仿宋_GBK"/>
                <w:spacing w:val="1"/>
                <w:sz w:val="20"/>
                <w:szCs w:val="20"/>
              </w:rPr>
            </w:pPr>
          </w:p>
        </w:tc>
        <w:tc>
          <w:tcPr>
            <w:tcW w:w="965" w:type="dxa"/>
            <w:vMerge w:val="continue"/>
            <w:tcBorders>
              <w:top w:val="nil"/>
            </w:tcBorders>
            <w:vAlign w:val="top"/>
          </w:tcPr>
          <w:p w14:paraId="269A070E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738" w:type="dxa"/>
            <w:vMerge w:val="continue"/>
            <w:tcBorders>
              <w:top w:val="nil"/>
            </w:tcBorders>
            <w:vAlign w:val="top"/>
          </w:tcPr>
          <w:p w14:paraId="329509EB">
            <w:pPr>
              <w:pStyle w:val="7"/>
              <w:rPr>
                <w:rFonts w:hint="eastAsia" w:ascii="方正仿宋_GBK" w:hAnsi="方正仿宋_GBK" w:eastAsia="方正仿宋_GBK" w:cs="方正仿宋_GBK"/>
              </w:rPr>
            </w:pPr>
          </w:p>
        </w:tc>
      </w:tr>
    </w:tbl>
    <w:p w14:paraId="493A47F6">
      <w:pPr>
        <w:ind w:firstLine="428" w:firstLineChars="200"/>
        <w:rPr>
          <w:rFonts w:hint="eastAsia" w:ascii="方正仿宋_GBK" w:hAnsi="方正仿宋_GBK" w:eastAsia="方正仿宋_GBK" w:cs="方正仿宋_GBK"/>
          <w:sz w:val="21"/>
          <w:szCs w:val="21"/>
        </w:rPr>
      </w:pPr>
      <w:r>
        <w:rPr>
          <w:rFonts w:hint="eastAsia" w:ascii="方正仿宋_GBK" w:hAnsi="方正仿宋_GBK" w:eastAsia="方正仿宋_GBK" w:cs="方正仿宋_GBK"/>
          <w:spacing w:val="2"/>
          <w:sz w:val="21"/>
          <w:szCs w:val="21"/>
        </w:rPr>
        <w:t>备注：</w: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1．“推荐</w:t>
      </w:r>
      <w:r>
        <w:rPr>
          <w:rFonts w:hint="eastAsia" w:ascii="方正仿宋_GBK" w:hAnsi="方正仿宋_GBK" w:eastAsia="方正仿宋_GBK" w:cs="方正仿宋_GBK"/>
          <w:sz w:val="21"/>
          <w:szCs w:val="21"/>
          <w:lang w:val="en-US" w:eastAsia="zh-CN"/>
        </w:rPr>
        <w:t>二级</w: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单位”</w:t>
      </w:r>
      <w:r>
        <w:rPr>
          <w:rFonts w:hint="eastAsia" w:ascii="方正仿宋_GBK" w:hAnsi="方正仿宋_GBK" w:eastAsia="方正仿宋_GBK" w:cs="方正仿宋_GBK"/>
          <w:sz w:val="21"/>
          <w:szCs w:val="21"/>
          <w:lang w:val="en-US" w:eastAsia="zh-CN"/>
        </w:rPr>
        <w:t>和主要负责人须签字，并</w: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加盖公章。2．表格填写内容须与系统填写内容保持一致。3．“申请类别”填写首席专家工作室或青年专家工作室。</w:t>
      </w:r>
      <w:r>
        <w:rPr>
          <w:rFonts w:hint="eastAsia" w:ascii="方正仿宋_GBK" w:hAnsi="方正仿宋_GBK" w:eastAsia="方正仿宋_GBK" w:cs="方正仿宋_GBK"/>
          <w:sz w:val="21"/>
          <w:szCs w:val="21"/>
          <w:lang w:val="en-US" w:eastAsia="zh-CN"/>
        </w:rPr>
        <w:t>4．“33618领域”对应我市“33618”现代制造业集群体系填写（智能网联新能源汽车、新一代电子信息制造业、</w: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先进材料；智能装备及智能制造、食品及农产品加工、软件信息服务；新型显示、高端摩托车、轻合金材料、</w:t>
      </w:r>
      <w:r>
        <w:rPr>
          <w:rFonts w:hint="eastAsia" w:ascii="方正仿宋_GBK" w:hAnsi="方正仿宋_GBK" w:eastAsia="方正仿宋_GBK" w:cs="方正仿宋_GBK"/>
          <w:sz w:val="21"/>
          <w:szCs w:val="21"/>
          <w:lang w:val="en-US" w:eastAsia="zh-CN"/>
        </w:rPr>
        <w:t>轻纺、生物医药、新能源及新型储能；卫星互联网、生物制造、生命科学、元宇宙、前沿新材料、未来能源、</w: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功率半导体及集成电路、AI及机器人、服务器、智能家居、传感器及仪器仪表、智能制造装备、动力装备、 农机装备、纤维及复合材料、合成材料、现代中药、医疗器械），不属于以上领域填写“其他（XX）”。 5．“人才计划项目”填写百千万人才工程国家级人选、重庆市学术技术带头人等国家级或市级人才入选情况。 6．“同等条件下优先考虑情况”根据设置条件第四点据实填写。 </w:t>
      </w:r>
      <w:r>
        <w:rPr>
          <w:rFonts w:hint="eastAsia" w:ascii="方正仿宋_GBK" w:hAnsi="方正仿宋_GBK" w:eastAsia="方正仿宋_GBK" w:cs="方正仿宋_GBK"/>
          <w:sz w:val="21"/>
          <w:szCs w:val="21"/>
          <w:lang w:val="en-US" w:eastAsia="zh-CN"/>
        </w:rPr>
        <w:t>7．“申报单位往届学科入选情况”填写所在单位往届已经入选过的专家工作室二级学科（医学可填报至三级学科），</w: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青年和首席分开填写。</w:t>
      </w:r>
    </w:p>
    <w:p w14:paraId="3F376401">
      <w:pPr>
        <w:pStyle w:val="2"/>
        <w:spacing w:line="206" w:lineRule="auto"/>
        <w:rPr>
          <w:rFonts w:hint="eastAsia" w:ascii="方正仿宋_GBK" w:hAnsi="方正仿宋_GBK" w:eastAsia="方正仿宋_GBK" w:cs="方正仿宋_GBK"/>
          <w:sz w:val="21"/>
          <w:szCs w:val="21"/>
        </w:rPr>
      </w:pPr>
    </w:p>
    <w:sectPr>
      <w:footerReference r:id="rId5" w:type="default"/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B6F74">
    <w:pPr>
      <w:spacing w:line="233" w:lineRule="auto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A87BCF"/>
    <w:rsid w:val="316025BD"/>
    <w:rsid w:val="6EA87BCF"/>
    <w:rsid w:val="7D70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2026-07-23T06:58:00Z</dcterms:created>
  <dc:creator>石晨曦</dc:creator>
  <cp:lastModifiedBy>石晨曦</cp:lastModifiedBy>
  <dcterms:modified xsi:type="dcterms:W3CDTF">2026-07-23T07:28:14Z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13B6A74B2CEA4A2EB38EE57521609C26_11</vt:lpwstr>
  </property>
  <property fmtid="{D5CDD505-2E9C-101B-9397-08002B2CF9AE}" pid="4" name="KSOTemplateDocerSaveRecord">
    <vt:lpwstr>eyJoZGlkIjoiNjQyNjQ0ZDRlZjcwY2YwNWRlNTZmM2FmNmQ2ODYyMzAiLCJ1c2VySWQiOiIzMjEyNTE2NTQifQ==</vt:lpwstr>
  </property>
</Properties>
</file>